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18D8A" w14:textId="2B618E36" w:rsidR="00536467" w:rsidRDefault="00536467" w:rsidP="00536467">
      <w:pPr>
        <w:pStyle w:val="NormalWeb"/>
      </w:pPr>
      <w:r>
        <w:rPr>
          <w:rFonts w:ascii="Tahoma" w:hAnsi="Tahoma" w:cs="Tahoma"/>
          <w:b/>
          <w:bCs/>
          <w:sz w:val="22"/>
          <w:szCs w:val="22"/>
        </w:rPr>
        <w:t xml:space="preserve">TOWNSHIP </w:t>
      </w:r>
      <w:proofErr w:type="gramStart"/>
      <w:r>
        <w:rPr>
          <w:rFonts w:ascii="Tahoma" w:hAnsi="Tahoma" w:cs="Tahoma"/>
          <w:b/>
          <w:bCs/>
          <w:sz w:val="22"/>
          <w:szCs w:val="22"/>
        </w:rPr>
        <w:t>OF  ONEKAMA</w:t>
      </w:r>
      <w:proofErr w:type="gramEnd"/>
      <w:r w:rsidR="00B94AFB">
        <w:rPr>
          <w:rFonts w:ascii="Tahoma" w:hAnsi="Tahoma" w:cs="Tahoma"/>
          <w:b/>
          <w:bCs/>
          <w:sz w:val="22"/>
          <w:szCs w:val="22"/>
        </w:rPr>
        <w:t xml:space="preserve"> </w:t>
      </w:r>
    </w:p>
    <w:p w14:paraId="6FCFA878" w14:textId="7479D668" w:rsidR="00536467" w:rsidRPr="00B94AFB" w:rsidRDefault="00536467" w:rsidP="00536467">
      <w:pPr>
        <w:pStyle w:val="NormalWeb"/>
      </w:pPr>
      <w:r>
        <w:rPr>
          <w:rFonts w:ascii="Tahoma" w:hAnsi="Tahoma" w:cs="Tahoma"/>
          <w:b/>
          <w:bCs/>
          <w:sz w:val="22"/>
          <w:szCs w:val="22"/>
        </w:rPr>
        <w:t>ORDINANCE NO. 2019-0</w:t>
      </w:r>
      <w:r w:rsidR="00DE1F0D">
        <w:rPr>
          <w:rFonts w:ascii="Tahoma" w:hAnsi="Tahoma" w:cs="Tahoma"/>
          <w:b/>
          <w:bCs/>
          <w:sz w:val="22"/>
          <w:szCs w:val="22"/>
        </w:rPr>
        <w:t>2</w:t>
      </w:r>
      <w:r w:rsidR="00B94AFB">
        <w:rPr>
          <w:rFonts w:ascii="Tahoma" w:hAnsi="Tahoma" w:cs="Tahoma"/>
          <w:b/>
          <w:bCs/>
          <w:sz w:val="22"/>
          <w:szCs w:val="22"/>
        </w:rPr>
        <w:t xml:space="preserve"> </w:t>
      </w:r>
      <w:proofErr w:type="gramStart"/>
      <w:r w:rsidR="00B94AFB">
        <w:rPr>
          <w:rFonts w:ascii="Tahoma" w:hAnsi="Tahoma" w:cs="Tahoma"/>
          <w:b/>
          <w:bCs/>
          <w:sz w:val="22"/>
          <w:szCs w:val="22"/>
        </w:rPr>
        <w:t xml:space="preserve"> </w:t>
      </w:r>
      <w:r w:rsidR="00B94AFB" w:rsidRPr="00B94AFB">
        <w:rPr>
          <w:rFonts w:ascii="Tahoma" w:hAnsi="Tahoma" w:cs="Tahoma"/>
          <w:bCs/>
          <w:sz w:val="22"/>
          <w:szCs w:val="22"/>
        </w:rPr>
        <w:t xml:space="preserve">  (</w:t>
      </w:r>
      <w:proofErr w:type="gramEnd"/>
      <w:r w:rsidR="00B94AFB" w:rsidRPr="00B94AFB">
        <w:rPr>
          <w:rFonts w:ascii="Tahoma" w:hAnsi="Tahoma" w:cs="Tahoma"/>
          <w:bCs/>
          <w:sz w:val="22"/>
          <w:szCs w:val="22"/>
        </w:rPr>
        <w:t>police power)</w:t>
      </w:r>
    </w:p>
    <w:p w14:paraId="0C7EEC6C" w14:textId="77777777" w:rsidR="00536467" w:rsidRDefault="00536467" w:rsidP="00536467">
      <w:pPr>
        <w:pStyle w:val="NormalWeb"/>
      </w:pPr>
      <w:r>
        <w:rPr>
          <w:rFonts w:ascii="Tahoma" w:hAnsi="Tahoma" w:cs="Tahoma"/>
          <w:b/>
          <w:bCs/>
          <w:sz w:val="22"/>
          <w:szCs w:val="22"/>
        </w:rPr>
        <w:t xml:space="preserve">FIREWORKS ORDINANCE  </w:t>
      </w:r>
    </w:p>
    <w:p w14:paraId="7C40A334" w14:textId="0123490C" w:rsidR="00536467" w:rsidRPr="0073106A" w:rsidRDefault="00536467" w:rsidP="00536467">
      <w:pPr>
        <w:pStyle w:val="NormalWeb"/>
      </w:pPr>
      <w:r>
        <w:rPr>
          <w:rFonts w:ascii="Tahoma" w:hAnsi="Tahoma" w:cs="Tahoma"/>
          <w:sz w:val="22"/>
          <w:szCs w:val="22"/>
        </w:rPr>
        <w:t xml:space="preserve">An Ordinance to regulate the ignition, discharge, and use of consumer fireworks to conform to amendments of the Michigan Fireworks Safety Act, MCL Section 28.451, </w:t>
      </w:r>
      <w:r>
        <w:rPr>
          <w:rFonts w:ascii="Tahoma" w:hAnsi="Tahoma" w:cs="Tahoma"/>
          <w:i/>
          <w:sz w:val="22"/>
          <w:szCs w:val="22"/>
        </w:rPr>
        <w:t xml:space="preserve">et. seq., </w:t>
      </w:r>
      <w:r>
        <w:rPr>
          <w:rFonts w:ascii="Tahoma" w:hAnsi="Tahoma" w:cs="Tahoma"/>
          <w:sz w:val="22"/>
          <w:szCs w:val="22"/>
        </w:rPr>
        <w:t>as has been amended by Public Acts 634,635, and 636 of 2018.</w:t>
      </w:r>
    </w:p>
    <w:p w14:paraId="35CBD120" w14:textId="4117CA3C" w:rsidR="005B358E" w:rsidRDefault="005B358E" w:rsidP="005B358E">
      <w:pPr>
        <w:pStyle w:val="NormalWeb"/>
        <w:rPr>
          <w:rFonts w:ascii="Arial" w:hAnsi="Arial"/>
          <w:sz w:val="22"/>
          <w:szCs w:val="22"/>
        </w:rPr>
      </w:pPr>
      <w:r w:rsidRPr="008C640B">
        <w:rPr>
          <w:rFonts w:ascii="Arial" w:hAnsi="Arial"/>
          <w:b/>
          <w:sz w:val="28"/>
          <w:szCs w:val="28"/>
        </w:rPr>
        <w:t>Definitions</w:t>
      </w:r>
      <w:r>
        <w:rPr>
          <w:rFonts w:ascii="Arial" w:hAnsi="Arial"/>
          <w:i/>
          <w:iCs/>
          <w:sz w:val="22"/>
          <w:szCs w:val="22"/>
        </w:rPr>
        <w:t xml:space="preserve">. </w:t>
      </w:r>
      <w:r>
        <w:rPr>
          <w:rFonts w:ascii="Arial" w:hAnsi="Arial"/>
          <w:sz w:val="22"/>
          <w:szCs w:val="22"/>
        </w:rPr>
        <w:t>As used in this section, the following terms shall be defined as follows:</w:t>
      </w:r>
    </w:p>
    <w:p w14:paraId="7F78DF23" w14:textId="574A003E" w:rsidR="005B358E" w:rsidRDefault="005B358E" w:rsidP="005B358E">
      <w:pPr>
        <w:pStyle w:val="NormalWeb"/>
        <w:numPr>
          <w:ilvl w:val="0"/>
          <w:numId w:val="4"/>
        </w:numPr>
        <w:rPr>
          <w:rFonts w:ascii="Arial" w:hAnsi="Arial"/>
          <w:sz w:val="22"/>
          <w:szCs w:val="22"/>
        </w:rPr>
      </w:pPr>
      <w:r>
        <w:rPr>
          <w:rFonts w:ascii="Arial" w:hAnsi="Arial"/>
          <w:i/>
          <w:iCs/>
          <w:sz w:val="22"/>
          <w:szCs w:val="22"/>
        </w:rPr>
        <w:t xml:space="preserve">APA standard 87-1 </w:t>
      </w:r>
      <w:r>
        <w:rPr>
          <w:rFonts w:ascii="Arial" w:hAnsi="Arial"/>
          <w:sz w:val="22"/>
          <w:szCs w:val="22"/>
        </w:rPr>
        <w:t>means 2001 APA standards 87-1, Standard for the Construction and Approval for Transportation of Fireworks, Novelties and Theatrical Pyrotechnics, published by the American Pyrotechnics Association of Bethesda, MD.</w:t>
      </w:r>
    </w:p>
    <w:p w14:paraId="7CE9D534" w14:textId="7A24261F" w:rsidR="005B358E" w:rsidRPr="005B358E" w:rsidRDefault="005B358E" w:rsidP="005B358E">
      <w:pPr>
        <w:pStyle w:val="NormalWeb"/>
        <w:ind w:left="360"/>
        <w:rPr>
          <w:rFonts w:ascii="Arial" w:hAnsi="Arial"/>
          <w:sz w:val="22"/>
          <w:szCs w:val="22"/>
        </w:rPr>
      </w:pPr>
      <w:r>
        <w:rPr>
          <w:rFonts w:ascii="Arial" w:hAnsi="Arial"/>
          <w:sz w:val="22"/>
          <w:szCs w:val="22"/>
        </w:rPr>
        <w:t xml:space="preserve">(B) </w:t>
      </w:r>
      <w:r>
        <w:rPr>
          <w:rFonts w:ascii="Arial" w:hAnsi="Arial"/>
          <w:i/>
          <w:iCs/>
          <w:sz w:val="22"/>
          <w:szCs w:val="22"/>
        </w:rPr>
        <w:t xml:space="preserve">Consumer fireworks </w:t>
      </w:r>
      <w:r>
        <w:rPr>
          <w:rFonts w:ascii="Arial" w:hAnsi="Arial"/>
          <w:sz w:val="22"/>
          <w:szCs w:val="22"/>
        </w:rPr>
        <w:t xml:space="preserve">means fireworks devices that are designed to comply with the construction, chemical composition and labeling regulations promulgated by the United States Consumer Protection Safety Commission under 16 CFR parts 1500 and 1507, and that are listed in APA standard 87-1, 3.1.2, 3.1.3, or 3.5. Consumer fireworks do not include low-impact fireworks. </w:t>
      </w:r>
    </w:p>
    <w:p w14:paraId="31A527C0" w14:textId="41B60F2D" w:rsidR="005B358E" w:rsidRDefault="005B358E" w:rsidP="005B358E">
      <w:pPr>
        <w:pStyle w:val="NormalWeb"/>
      </w:pPr>
      <w:r>
        <w:rPr>
          <w:rFonts w:ascii="Arial" w:hAnsi="Arial"/>
          <w:sz w:val="22"/>
          <w:szCs w:val="22"/>
        </w:rPr>
        <w:t xml:space="preserve">     (C) </w:t>
      </w:r>
      <w:r>
        <w:rPr>
          <w:rFonts w:ascii="Arial" w:hAnsi="Arial"/>
          <w:i/>
          <w:iCs/>
          <w:sz w:val="22"/>
          <w:szCs w:val="22"/>
        </w:rPr>
        <w:t xml:space="preserve">Fireworks </w:t>
      </w:r>
      <w:r>
        <w:rPr>
          <w:rFonts w:ascii="Arial" w:hAnsi="Arial"/>
          <w:sz w:val="22"/>
          <w:szCs w:val="22"/>
        </w:rPr>
        <w:t xml:space="preserve">means any composition or device, except for a starting pistol, a flare     gun, or a flare, designed for the purpose of producing a visible or audible effect by combustion, deflagration or detonation. </w:t>
      </w:r>
    </w:p>
    <w:p w14:paraId="7BC70E77" w14:textId="77777777" w:rsidR="005B358E" w:rsidRDefault="005B358E" w:rsidP="005B358E">
      <w:pPr>
        <w:pStyle w:val="NormalWeb"/>
        <w:rPr>
          <w:rFonts w:ascii="Arial" w:hAnsi="Arial"/>
          <w:sz w:val="22"/>
          <w:szCs w:val="22"/>
        </w:rPr>
      </w:pPr>
      <w:r>
        <w:rPr>
          <w:rFonts w:ascii="Arial" w:hAnsi="Arial"/>
          <w:sz w:val="22"/>
          <w:szCs w:val="22"/>
        </w:rPr>
        <w:t xml:space="preserve">      (D) </w:t>
      </w:r>
      <w:r>
        <w:rPr>
          <w:rFonts w:ascii="Arial" w:hAnsi="Arial"/>
          <w:i/>
          <w:iCs/>
          <w:sz w:val="22"/>
          <w:szCs w:val="22"/>
        </w:rPr>
        <w:t xml:space="preserve">Low impact fireworks </w:t>
      </w:r>
      <w:proofErr w:type="gramStart"/>
      <w:r>
        <w:rPr>
          <w:rFonts w:ascii="Arial" w:hAnsi="Arial"/>
          <w:sz w:val="22"/>
          <w:szCs w:val="22"/>
        </w:rPr>
        <w:t>means</w:t>
      </w:r>
      <w:proofErr w:type="gramEnd"/>
      <w:r>
        <w:rPr>
          <w:rFonts w:ascii="Arial" w:hAnsi="Arial"/>
          <w:sz w:val="22"/>
          <w:szCs w:val="22"/>
        </w:rPr>
        <w:t xml:space="preserve"> ground and handheld sparkling devices as that phrase is defined under APA standard 87-1, 3.1, 3.1.1.1 to 3.1.1.8 and 3.5.</w:t>
      </w:r>
    </w:p>
    <w:p w14:paraId="27F2ADF8" w14:textId="76E69BA0" w:rsidR="005B358E" w:rsidRPr="005B358E" w:rsidRDefault="005B358E" w:rsidP="005B358E">
      <w:pPr>
        <w:pStyle w:val="NormalWeb"/>
        <w:rPr>
          <w:rFonts w:ascii="Arial" w:hAnsi="Arial"/>
          <w:sz w:val="22"/>
          <w:szCs w:val="22"/>
        </w:rPr>
      </w:pPr>
      <w:r>
        <w:rPr>
          <w:rFonts w:ascii="Arial" w:hAnsi="Arial"/>
          <w:sz w:val="22"/>
          <w:szCs w:val="22"/>
        </w:rPr>
        <w:t xml:space="preserve">      (E) </w:t>
      </w:r>
      <w:r>
        <w:rPr>
          <w:rFonts w:ascii="Arial" w:hAnsi="Arial"/>
          <w:i/>
          <w:iCs/>
          <w:sz w:val="22"/>
          <w:szCs w:val="22"/>
        </w:rPr>
        <w:t xml:space="preserve">Minor </w:t>
      </w:r>
      <w:r>
        <w:rPr>
          <w:rFonts w:ascii="Arial" w:hAnsi="Arial"/>
          <w:sz w:val="22"/>
          <w:szCs w:val="22"/>
        </w:rPr>
        <w:t xml:space="preserve">means an individual who is less than 18 years of age. </w:t>
      </w:r>
    </w:p>
    <w:p w14:paraId="2408C5EF" w14:textId="77777777" w:rsidR="005B358E" w:rsidRDefault="005B358E" w:rsidP="005B358E">
      <w:pPr>
        <w:pStyle w:val="NormalWeb"/>
        <w:rPr>
          <w:rFonts w:ascii="Arial" w:hAnsi="Arial"/>
          <w:sz w:val="22"/>
          <w:szCs w:val="22"/>
        </w:rPr>
      </w:pPr>
      <w:r w:rsidRPr="002D25D2">
        <w:rPr>
          <w:rFonts w:ascii="Arial" w:hAnsi="Arial"/>
          <w:b/>
          <w:sz w:val="24"/>
          <w:szCs w:val="24"/>
        </w:rPr>
        <w:t xml:space="preserve">Section. 1 </w:t>
      </w:r>
      <w:proofErr w:type="gramStart"/>
      <w:r w:rsidRPr="002D25D2">
        <w:rPr>
          <w:rFonts w:ascii="Arial" w:hAnsi="Arial"/>
          <w:b/>
          <w:sz w:val="24"/>
          <w:szCs w:val="24"/>
        </w:rPr>
        <w:t>-  Ignition</w:t>
      </w:r>
      <w:proofErr w:type="gramEnd"/>
      <w:r w:rsidRPr="002D25D2">
        <w:rPr>
          <w:rFonts w:ascii="Arial" w:hAnsi="Arial"/>
          <w:b/>
          <w:sz w:val="24"/>
          <w:szCs w:val="24"/>
        </w:rPr>
        <w:t>, Discharge or Use of Consumer Fireworks.</w:t>
      </w:r>
      <w:r>
        <w:rPr>
          <w:rFonts w:ascii="Arial" w:hAnsi="Arial"/>
          <w:sz w:val="22"/>
          <w:szCs w:val="22"/>
        </w:rPr>
        <w:br/>
        <w:t>A. Except as provided in this Section, a person shall not ignite, discharge, or use consumer fireworks at any time.</w:t>
      </w:r>
    </w:p>
    <w:p w14:paraId="7F9E1632" w14:textId="77777777" w:rsidR="005B358E" w:rsidRDefault="005B358E" w:rsidP="005B358E">
      <w:pPr>
        <w:pStyle w:val="NormalWeb"/>
      </w:pPr>
      <w:r>
        <w:rPr>
          <w:rFonts w:ascii="Arial" w:hAnsi="Arial"/>
          <w:sz w:val="22"/>
          <w:szCs w:val="22"/>
        </w:rPr>
        <w:t xml:space="preserve">B. A person may ignite, discharge, or use consumer fireworks on the following days during the following hours: </w:t>
      </w:r>
    </w:p>
    <w:p w14:paraId="6EC67B17" w14:textId="77777777" w:rsidR="005B358E" w:rsidRDefault="005B358E" w:rsidP="005B358E">
      <w:pPr>
        <w:pStyle w:val="NormalWeb"/>
        <w:numPr>
          <w:ilvl w:val="0"/>
          <w:numId w:val="1"/>
        </w:numPr>
        <w:rPr>
          <w:rFonts w:ascii="Arial" w:hAnsi="Arial"/>
          <w:sz w:val="22"/>
          <w:szCs w:val="22"/>
        </w:rPr>
      </w:pPr>
      <w:r>
        <w:rPr>
          <w:rFonts w:ascii="Arial" w:hAnsi="Arial"/>
          <w:sz w:val="22"/>
          <w:szCs w:val="22"/>
        </w:rPr>
        <w:t xml:space="preserve">Between 11:00 a.m. on December 31 and 1:00 a.m. on the immediately following January 1. </w:t>
      </w:r>
    </w:p>
    <w:p w14:paraId="4F6D162B" w14:textId="77777777" w:rsidR="005B358E" w:rsidRDefault="005B358E" w:rsidP="005B358E">
      <w:pPr>
        <w:pStyle w:val="NormalWeb"/>
        <w:numPr>
          <w:ilvl w:val="0"/>
          <w:numId w:val="1"/>
        </w:numPr>
        <w:rPr>
          <w:rFonts w:ascii="Arial" w:hAnsi="Arial"/>
          <w:sz w:val="22"/>
          <w:szCs w:val="22"/>
        </w:rPr>
      </w:pPr>
      <w:r>
        <w:rPr>
          <w:rFonts w:ascii="Arial" w:hAnsi="Arial"/>
          <w:sz w:val="22"/>
          <w:szCs w:val="22"/>
        </w:rPr>
        <w:t xml:space="preserve">Between 11:00 a.m. and 11:45 p.m. on the Saturday immediately preceding Memorial Day. </w:t>
      </w:r>
    </w:p>
    <w:p w14:paraId="26F8505B" w14:textId="77777777" w:rsidR="005B358E" w:rsidRDefault="005B358E" w:rsidP="005B358E">
      <w:pPr>
        <w:pStyle w:val="NormalWeb"/>
        <w:numPr>
          <w:ilvl w:val="0"/>
          <w:numId w:val="1"/>
        </w:numPr>
        <w:rPr>
          <w:rFonts w:ascii="Arial" w:hAnsi="Arial"/>
          <w:sz w:val="22"/>
          <w:szCs w:val="22"/>
        </w:rPr>
      </w:pPr>
      <w:r>
        <w:rPr>
          <w:rFonts w:ascii="Arial" w:hAnsi="Arial"/>
          <w:sz w:val="22"/>
          <w:szCs w:val="22"/>
        </w:rPr>
        <w:t xml:space="preserve">Between 11:00 a.m. and 11:45 p.m. on the Sunday immediately preceding Memorial Day. </w:t>
      </w:r>
    </w:p>
    <w:p w14:paraId="1F2F79A5" w14:textId="77777777" w:rsidR="005B358E" w:rsidRDefault="005B358E" w:rsidP="005B358E">
      <w:pPr>
        <w:pStyle w:val="NormalWeb"/>
        <w:numPr>
          <w:ilvl w:val="0"/>
          <w:numId w:val="1"/>
        </w:numPr>
        <w:rPr>
          <w:rFonts w:ascii="Arial" w:hAnsi="Arial"/>
          <w:sz w:val="22"/>
          <w:szCs w:val="22"/>
        </w:rPr>
      </w:pPr>
      <w:r>
        <w:rPr>
          <w:rFonts w:ascii="Arial" w:hAnsi="Arial"/>
          <w:sz w:val="22"/>
          <w:szCs w:val="22"/>
        </w:rPr>
        <w:t xml:space="preserve">Between 11:00 a.m. and 11:45 p.m. on June 29, June 30, July 1, July 2, July 3 and July 4. </w:t>
      </w:r>
    </w:p>
    <w:p w14:paraId="7B5A6676" w14:textId="77777777" w:rsidR="005B358E" w:rsidRDefault="005B358E" w:rsidP="005B358E">
      <w:pPr>
        <w:pStyle w:val="NormalWeb"/>
        <w:numPr>
          <w:ilvl w:val="0"/>
          <w:numId w:val="1"/>
        </w:numPr>
        <w:rPr>
          <w:rFonts w:ascii="Arial" w:hAnsi="Arial"/>
          <w:sz w:val="22"/>
          <w:szCs w:val="22"/>
        </w:rPr>
      </w:pPr>
      <w:r>
        <w:rPr>
          <w:rFonts w:ascii="Arial" w:hAnsi="Arial"/>
          <w:sz w:val="22"/>
          <w:szCs w:val="22"/>
        </w:rPr>
        <w:t xml:space="preserve">Between 11:00 a.m. and 11:45 p.m. on July 5, if that date is a Friday or a Saturday. </w:t>
      </w:r>
    </w:p>
    <w:p w14:paraId="5619AD8F" w14:textId="77777777" w:rsidR="005B358E" w:rsidRDefault="005B358E" w:rsidP="005B358E">
      <w:pPr>
        <w:pStyle w:val="NormalWeb"/>
        <w:numPr>
          <w:ilvl w:val="0"/>
          <w:numId w:val="1"/>
        </w:numPr>
        <w:rPr>
          <w:rFonts w:ascii="Arial" w:hAnsi="Arial"/>
          <w:sz w:val="22"/>
          <w:szCs w:val="22"/>
        </w:rPr>
      </w:pPr>
      <w:r>
        <w:rPr>
          <w:rFonts w:ascii="Arial" w:hAnsi="Arial"/>
          <w:sz w:val="22"/>
          <w:szCs w:val="22"/>
        </w:rPr>
        <w:lastRenderedPageBreak/>
        <w:t xml:space="preserve">Between 11:00 a.m. and 11:45 p.m. on the Saturday immediately preceding Labor Day. </w:t>
      </w:r>
    </w:p>
    <w:p w14:paraId="322427FC" w14:textId="77777777" w:rsidR="005B358E" w:rsidRDefault="005B358E" w:rsidP="005B358E">
      <w:pPr>
        <w:pStyle w:val="NormalWeb"/>
        <w:numPr>
          <w:ilvl w:val="0"/>
          <w:numId w:val="1"/>
        </w:numPr>
        <w:rPr>
          <w:rFonts w:ascii="Arial" w:hAnsi="Arial"/>
          <w:sz w:val="22"/>
          <w:szCs w:val="22"/>
        </w:rPr>
      </w:pPr>
      <w:r>
        <w:rPr>
          <w:rFonts w:ascii="Arial" w:hAnsi="Arial"/>
          <w:sz w:val="22"/>
          <w:szCs w:val="22"/>
        </w:rPr>
        <w:t xml:space="preserve">Between 11:00 a.m. and 11:45 p.m. on the Sunday immediately preceding Labor Day. </w:t>
      </w:r>
    </w:p>
    <w:p w14:paraId="301EAAA4" w14:textId="104E0B83" w:rsidR="005B358E" w:rsidRDefault="005B358E" w:rsidP="005B358E">
      <w:pPr>
        <w:pStyle w:val="NormalWeb"/>
      </w:pPr>
      <w:r>
        <w:rPr>
          <w:rFonts w:ascii="Arial" w:hAnsi="Arial"/>
          <w:sz w:val="22"/>
          <w:szCs w:val="22"/>
        </w:rPr>
        <w:t>C. A minor shall not possess consumer fireworks</w:t>
      </w:r>
      <w:r w:rsidR="005308B0">
        <w:rPr>
          <w:rFonts w:ascii="Arial" w:hAnsi="Arial"/>
          <w:sz w:val="22"/>
          <w:szCs w:val="22"/>
        </w:rPr>
        <w:t>.</w:t>
      </w:r>
      <w:r>
        <w:rPr>
          <w:rFonts w:ascii="Arial" w:hAnsi="Arial"/>
          <w:sz w:val="22"/>
          <w:szCs w:val="22"/>
        </w:rPr>
        <w:t xml:space="preserve"> </w:t>
      </w:r>
    </w:p>
    <w:p w14:paraId="4257717D" w14:textId="6A9D9058" w:rsidR="005308B0" w:rsidRDefault="005B358E" w:rsidP="005308B0">
      <w:pPr>
        <w:pStyle w:val="NormalWeb"/>
        <w:rPr>
          <w:rFonts w:ascii="Arial" w:hAnsi="Arial"/>
          <w:b/>
          <w:sz w:val="24"/>
          <w:szCs w:val="24"/>
        </w:rPr>
      </w:pPr>
      <w:r>
        <w:rPr>
          <w:rFonts w:ascii="Arial" w:hAnsi="Arial"/>
          <w:sz w:val="22"/>
          <w:szCs w:val="22"/>
        </w:rPr>
        <w:t xml:space="preserve">D. A violation of this Section is a civil infraction, punishable by a fine of not more than   </w:t>
      </w:r>
    </w:p>
    <w:p w14:paraId="0CD7BE61" w14:textId="782204DF" w:rsidR="005308B0" w:rsidRDefault="005B358E" w:rsidP="005308B0">
      <w:pPr>
        <w:pStyle w:val="NormalWeb"/>
        <w:rPr>
          <w:sz w:val="24"/>
          <w:szCs w:val="24"/>
        </w:rPr>
      </w:pPr>
      <w:r>
        <w:rPr>
          <w:rFonts w:ascii="Arial" w:hAnsi="Arial"/>
          <w:sz w:val="22"/>
          <w:szCs w:val="22"/>
        </w:rPr>
        <w:t xml:space="preserve">$1,000.  </w:t>
      </w:r>
    </w:p>
    <w:p w14:paraId="27BC558F" w14:textId="4BAF4B68" w:rsidR="005308B0" w:rsidRDefault="005308B0" w:rsidP="005308B0">
      <w:pPr>
        <w:pStyle w:val="NormalWeb"/>
      </w:pPr>
      <w:r w:rsidRPr="005308B0">
        <w:rPr>
          <w:rFonts w:ascii="Arial" w:hAnsi="Arial"/>
          <w:b/>
          <w:sz w:val="24"/>
          <w:szCs w:val="24"/>
        </w:rPr>
        <w:t xml:space="preserve">Section 2 </w:t>
      </w:r>
      <w:r>
        <w:rPr>
          <w:rFonts w:ascii="Arial" w:hAnsi="Arial"/>
          <w:b/>
          <w:sz w:val="24"/>
          <w:szCs w:val="24"/>
        </w:rPr>
        <w:t>–</w:t>
      </w:r>
      <w:r w:rsidRPr="005308B0">
        <w:rPr>
          <w:rFonts w:ascii="Arial" w:hAnsi="Arial"/>
          <w:b/>
          <w:sz w:val="24"/>
          <w:szCs w:val="24"/>
        </w:rPr>
        <w:t xml:space="preserve"> </w:t>
      </w:r>
      <w:r>
        <w:rPr>
          <w:rFonts w:ascii="Arial" w:hAnsi="Arial"/>
          <w:b/>
          <w:sz w:val="24"/>
          <w:szCs w:val="24"/>
        </w:rPr>
        <w:t>Special Permits</w:t>
      </w:r>
    </w:p>
    <w:p w14:paraId="5363CB36" w14:textId="74EF58B2" w:rsidR="005308B0" w:rsidRPr="005308B0" w:rsidRDefault="005308B0" w:rsidP="005308B0">
      <w:pPr>
        <w:pStyle w:val="NormalWeb"/>
      </w:pPr>
      <w:r>
        <w:rPr>
          <w:sz w:val="24"/>
          <w:szCs w:val="24"/>
        </w:rPr>
        <w:t xml:space="preserve">Upon application in writing by any association or group of individuals, the Township Board of Trustees may grant permission for the public display of Consumer Fireworks on days other than those specified in Section 1 of this Ordinance, subject to such conditions as deemed necessary to safeguard the welfare of the public and property.   Such applications for Special Permits must be filed with the Township clerk at least thirty (30) days before the proposed display event.  </w:t>
      </w:r>
    </w:p>
    <w:p w14:paraId="21C4541B" w14:textId="77777777" w:rsidR="005308B0" w:rsidRPr="002D25D2" w:rsidRDefault="005308B0" w:rsidP="005308B0">
      <w:pPr>
        <w:pStyle w:val="NormalWeb"/>
        <w:rPr>
          <w:b/>
          <w:sz w:val="24"/>
          <w:szCs w:val="24"/>
        </w:rPr>
      </w:pPr>
      <w:r w:rsidRPr="002D25D2">
        <w:rPr>
          <w:rFonts w:ascii="Arial" w:hAnsi="Arial"/>
          <w:b/>
          <w:sz w:val="24"/>
          <w:szCs w:val="24"/>
        </w:rPr>
        <w:t>Section 3 – Ignition, Discharge, or Use of Consumer Fire</w:t>
      </w:r>
      <w:r>
        <w:rPr>
          <w:rFonts w:ascii="Arial" w:hAnsi="Arial"/>
          <w:b/>
          <w:sz w:val="24"/>
          <w:szCs w:val="24"/>
        </w:rPr>
        <w:t>works While Under the Influence.</w:t>
      </w:r>
      <w:r w:rsidRPr="002D25D2">
        <w:rPr>
          <w:rFonts w:ascii="Arial" w:hAnsi="Arial"/>
          <w:b/>
          <w:sz w:val="24"/>
          <w:szCs w:val="24"/>
        </w:rPr>
        <w:t xml:space="preserve"> </w:t>
      </w:r>
    </w:p>
    <w:p w14:paraId="03DB5BF1" w14:textId="77777777" w:rsidR="005308B0" w:rsidRPr="008C640B" w:rsidRDefault="005308B0" w:rsidP="005308B0">
      <w:pPr>
        <w:pStyle w:val="NormalWeb"/>
        <w:numPr>
          <w:ilvl w:val="0"/>
          <w:numId w:val="3"/>
        </w:numPr>
        <w:rPr>
          <w:rFonts w:ascii="Arial" w:hAnsi="Arial"/>
          <w:b/>
          <w:bCs/>
          <w:sz w:val="22"/>
          <w:szCs w:val="22"/>
        </w:rPr>
      </w:pPr>
      <w:r>
        <w:rPr>
          <w:rFonts w:ascii="Arial" w:hAnsi="Arial"/>
          <w:sz w:val="22"/>
          <w:szCs w:val="22"/>
        </w:rPr>
        <w:t>A person shall not ignite, discharge, or use consumer fireworks or low-impact fireworks while under the influence of alcoholic liquor, a controlled substance, or a combination of alcoholic liquor and a controlled substance.</w:t>
      </w:r>
    </w:p>
    <w:p w14:paraId="1162CEA5" w14:textId="77777777" w:rsidR="005308B0" w:rsidRPr="008C640B" w:rsidRDefault="005308B0" w:rsidP="005308B0">
      <w:pPr>
        <w:pStyle w:val="NormalWeb"/>
        <w:numPr>
          <w:ilvl w:val="0"/>
          <w:numId w:val="3"/>
        </w:numPr>
        <w:rPr>
          <w:rFonts w:ascii="Arial" w:hAnsi="Arial"/>
          <w:b/>
          <w:bCs/>
          <w:sz w:val="22"/>
          <w:szCs w:val="22"/>
        </w:rPr>
      </w:pPr>
      <w:r>
        <w:rPr>
          <w:rFonts w:ascii="Arial" w:hAnsi="Arial"/>
          <w:sz w:val="22"/>
          <w:szCs w:val="22"/>
        </w:rPr>
        <w:t xml:space="preserve"> As used in this Section, “alcoholic liquor” means that term as defined in Section 1d of the Michigan Vehicle Code, MCL 257.1d, as may be amended, and “controlled substance” means</w:t>
      </w:r>
      <w:r>
        <w:t xml:space="preserve"> </w:t>
      </w:r>
      <w:r>
        <w:rPr>
          <w:rFonts w:ascii="Arial" w:hAnsi="Arial"/>
          <w:sz w:val="22"/>
          <w:szCs w:val="22"/>
        </w:rPr>
        <w:t>that term as defined in Section 8b of the Michigan Vehicle Code, MCL 257.8b, as may be amended.</w:t>
      </w:r>
    </w:p>
    <w:p w14:paraId="2F02F1E4" w14:textId="00D155BD" w:rsidR="005B358E" w:rsidRPr="00B94AFB" w:rsidRDefault="005308B0" w:rsidP="005B358E">
      <w:pPr>
        <w:pStyle w:val="NormalWeb"/>
        <w:numPr>
          <w:ilvl w:val="0"/>
          <w:numId w:val="3"/>
        </w:numPr>
        <w:rPr>
          <w:rFonts w:ascii="Arial" w:hAnsi="Arial"/>
          <w:b/>
          <w:bCs/>
          <w:sz w:val="22"/>
          <w:szCs w:val="22"/>
        </w:rPr>
      </w:pPr>
      <w:r w:rsidRPr="008C640B">
        <w:rPr>
          <w:rFonts w:ascii="Arial" w:hAnsi="Arial"/>
          <w:sz w:val="22"/>
          <w:szCs w:val="22"/>
        </w:rPr>
        <w:t xml:space="preserve">A violation of this Section is a civil infraction, punishable by a fine of not more than $1,000. </w:t>
      </w:r>
    </w:p>
    <w:p w14:paraId="1DE554F0" w14:textId="3AD998D5" w:rsidR="005308B0" w:rsidRDefault="005308B0" w:rsidP="005308B0">
      <w:pPr>
        <w:pStyle w:val="NormalWeb"/>
      </w:pPr>
      <w:r>
        <w:rPr>
          <w:rFonts w:ascii="Arial" w:hAnsi="Arial"/>
          <w:b/>
          <w:sz w:val="24"/>
          <w:szCs w:val="24"/>
        </w:rPr>
        <w:t>Section 4</w:t>
      </w:r>
      <w:r w:rsidR="005B358E" w:rsidRPr="002D25D2">
        <w:rPr>
          <w:rFonts w:ascii="Arial" w:hAnsi="Arial"/>
          <w:b/>
          <w:sz w:val="24"/>
          <w:szCs w:val="24"/>
        </w:rPr>
        <w:t xml:space="preserve"> - Ignition, Discharge or Use of Consumer Fireworks on Public Property, School Property, Church Property or the Property of Another Person</w:t>
      </w:r>
      <w:r>
        <w:rPr>
          <w:sz w:val="24"/>
          <w:szCs w:val="24"/>
        </w:rPr>
        <w:t xml:space="preserve"> </w:t>
      </w:r>
    </w:p>
    <w:p w14:paraId="2ADACDA5" w14:textId="6AF7DE5C" w:rsidR="005308B0" w:rsidRDefault="005308B0" w:rsidP="005308B0">
      <w:pPr>
        <w:pStyle w:val="NormalWeb"/>
      </w:pPr>
      <w:r>
        <w:rPr>
          <w:sz w:val="24"/>
          <w:szCs w:val="24"/>
        </w:rPr>
        <w:t>1.</w:t>
      </w:r>
      <w:r w:rsidRPr="005308B0">
        <w:rPr>
          <w:sz w:val="24"/>
          <w:szCs w:val="24"/>
        </w:rPr>
        <w:t xml:space="preserve"> A person shall not ignite, discharge and/or use Consumer Fireworks on public property, school property, church property, or the property of owned by another person or entity without that organization’s or person’s express permission. </w:t>
      </w:r>
    </w:p>
    <w:p w14:paraId="270FFBA0" w14:textId="5419C3FC" w:rsidR="005308B0" w:rsidRDefault="005308B0" w:rsidP="005308B0">
      <w:pPr>
        <w:pStyle w:val="NormalWeb"/>
        <w:rPr>
          <w:sz w:val="24"/>
          <w:szCs w:val="24"/>
        </w:rPr>
      </w:pPr>
      <w:r>
        <w:rPr>
          <w:sz w:val="24"/>
          <w:szCs w:val="24"/>
        </w:rPr>
        <w:t xml:space="preserve">2.  A person shall not discharge Consumer Fireworks in such a manner so as remnants from consumer fireworks land on public property or the property of another, including, but not limited to, residential dwellings, hotel and motel property, apartment property, and condominium property, without that person or organization’s express permission. </w:t>
      </w:r>
    </w:p>
    <w:p w14:paraId="79D2D4ED" w14:textId="77777777" w:rsidR="00B94AFB" w:rsidRDefault="00B94AFB" w:rsidP="005308B0">
      <w:pPr>
        <w:pStyle w:val="NormalWeb"/>
      </w:pPr>
    </w:p>
    <w:p w14:paraId="577EF981" w14:textId="64A40CC8" w:rsidR="005308B0" w:rsidRPr="00C03662" w:rsidRDefault="00C03662" w:rsidP="005308B0">
      <w:pPr>
        <w:pStyle w:val="NormalWeb"/>
      </w:pPr>
      <w:r>
        <w:rPr>
          <w:sz w:val="24"/>
          <w:szCs w:val="24"/>
        </w:rPr>
        <w:lastRenderedPageBreak/>
        <w:t>3</w:t>
      </w:r>
      <w:r w:rsidR="005308B0">
        <w:rPr>
          <w:sz w:val="24"/>
          <w:szCs w:val="24"/>
        </w:rPr>
        <w:t>.  An individual who owns property and/or is in charge of property that knowingly a</w:t>
      </w:r>
      <w:r>
        <w:rPr>
          <w:sz w:val="24"/>
          <w:szCs w:val="24"/>
        </w:rPr>
        <w:t>llows a violation of Section 4 (1-3</w:t>
      </w:r>
      <w:r w:rsidR="005308B0">
        <w:rPr>
          <w:sz w:val="24"/>
          <w:szCs w:val="24"/>
        </w:rPr>
        <w:t>) to occur on his/h</w:t>
      </w:r>
      <w:r>
        <w:rPr>
          <w:sz w:val="24"/>
          <w:szCs w:val="24"/>
        </w:rPr>
        <w:t xml:space="preserve">er property shall be liable for </w:t>
      </w:r>
      <w:r w:rsidR="005308B0">
        <w:rPr>
          <w:sz w:val="24"/>
          <w:szCs w:val="24"/>
        </w:rPr>
        <w:t>a municipal civil infraction and subject to a civil fine of at l</w:t>
      </w:r>
      <w:r>
        <w:rPr>
          <w:sz w:val="24"/>
          <w:szCs w:val="24"/>
        </w:rPr>
        <w:t>east $100 and no more than $500 for each violation of this Ordinance.</w:t>
      </w:r>
    </w:p>
    <w:p w14:paraId="47A1FC21" w14:textId="5EB04128" w:rsidR="005308B0" w:rsidRPr="002D25D2" w:rsidRDefault="005308B0" w:rsidP="005308B0">
      <w:pPr>
        <w:pStyle w:val="NormalWeb"/>
        <w:rPr>
          <w:b/>
          <w:sz w:val="24"/>
          <w:szCs w:val="24"/>
        </w:rPr>
      </w:pPr>
      <w:r>
        <w:rPr>
          <w:rFonts w:ascii="Arial" w:hAnsi="Arial"/>
          <w:b/>
          <w:sz w:val="24"/>
          <w:szCs w:val="24"/>
        </w:rPr>
        <w:t>Section 5</w:t>
      </w:r>
      <w:r w:rsidRPr="002D25D2">
        <w:rPr>
          <w:rFonts w:ascii="Arial" w:hAnsi="Arial"/>
          <w:b/>
          <w:sz w:val="24"/>
          <w:szCs w:val="24"/>
        </w:rPr>
        <w:t xml:space="preserve"> - Determination of Violation; Seizure; Destruction; Storage Costs. </w:t>
      </w:r>
    </w:p>
    <w:p w14:paraId="2C526205" w14:textId="0466E74E" w:rsidR="005308B0" w:rsidRDefault="00C03662" w:rsidP="005308B0">
      <w:pPr>
        <w:pStyle w:val="NormalWeb"/>
      </w:pPr>
      <w:r>
        <w:rPr>
          <w:rFonts w:ascii="Arial" w:hAnsi="Arial"/>
          <w:sz w:val="22"/>
          <w:szCs w:val="22"/>
        </w:rPr>
        <w:t>1</w:t>
      </w:r>
      <w:r w:rsidR="005308B0">
        <w:rPr>
          <w:rFonts w:ascii="Arial" w:hAnsi="Arial"/>
          <w:sz w:val="22"/>
          <w:szCs w:val="22"/>
        </w:rPr>
        <w:t xml:space="preserve">. If a police officer determines that a violation of this Article has occurred, the Department may seize the firework as evidence of the violation. The Department shall store, or cause to be stored, the evidence seized under this Section pending disposition of any proceedings arising from the violation. </w:t>
      </w:r>
    </w:p>
    <w:p w14:paraId="176E7801" w14:textId="57585B83" w:rsidR="00C03662" w:rsidRDefault="00C03662" w:rsidP="005308B0">
      <w:pPr>
        <w:pStyle w:val="NormalWeb"/>
        <w:rPr>
          <w:rFonts w:ascii="Arial" w:hAnsi="Arial"/>
          <w:sz w:val="22"/>
          <w:szCs w:val="22"/>
        </w:rPr>
      </w:pPr>
      <w:r>
        <w:rPr>
          <w:rFonts w:ascii="Arial" w:hAnsi="Arial"/>
          <w:sz w:val="22"/>
          <w:szCs w:val="22"/>
        </w:rPr>
        <w:t>2</w:t>
      </w:r>
      <w:r w:rsidR="005308B0">
        <w:rPr>
          <w:rFonts w:ascii="Arial" w:hAnsi="Arial"/>
          <w:sz w:val="22"/>
          <w:szCs w:val="22"/>
        </w:rPr>
        <w:t>. Following a final disposition of an appeal of a finding of responsibility under this Article that affirms the finding, the Department may dispose of or destroy any fireworks retained as evidence in that proceeding.</w:t>
      </w:r>
    </w:p>
    <w:p w14:paraId="32CE275E" w14:textId="048B3A30" w:rsidR="005308B0" w:rsidRPr="00C03662" w:rsidRDefault="00C03662" w:rsidP="005308B0">
      <w:pPr>
        <w:pStyle w:val="NormalWeb"/>
        <w:rPr>
          <w:rFonts w:ascii="Arial" w:hAnsi="Arial"/>
          <w:sz w:val="22"/>
          <w:szCs w:val="22"/>
        </w:rPr>
      </w:pPr>
      <w:r>
        <w:rPr>
          <w:rFonts w:ascii="Arial" w:hAnsi="Arial"/>
          <w:sz w:val="22"/>
          <w:szCs w:val="22"/>
        </w:rPr>
        <w:br/>
        <w:t>3</w:t>
      </w:r>
      <w:r w:rsidR="005308B0">
        <w:rPr>
          <w:rFonts w:ascii="Arial" w:hAnsi="Arial"/>
          <w:sz w:val="22"/>
          <w:szCs w:val="22"/>
        </w:rPr>
        <w:t xml:space="preserve">. A person from whom fireworks are seized under this Article shall pay the actual costs of storage and disposal of the seized fireworks if found responsible for a violation of this Article. </w:t>
      </w:r>
    </w:p>
    <w:p w14:paraId="5F077ABA" w14:textId="2E4473E0" w:rsidR="005308B0" w:rsidRPr="00C03662" w:rsidRDefault="00C03662" w:rsidP="005308B0">
      <w:pPr>
        <w:pStyle w:val="NormalWeb"/>
        <w:rPr>
          <w:sz w:val="24"/>
          <w:szCs w:val="24"/>
        </w:rPr>
      </w:pPr>
      <w:r w:rsidRPr="00C03662">
        <w:rPr>
          <w:b/>
          <w:sz w:val="24"/>
          <w:szCs w:val="24"/>
        </w:rPr>
        <w:t xml:space="preserve">SECTION 6 - </w:t>
      </w:r>
      <w:r w:rsidR="005308B0" w:rsidRPr="00C03662">
        <w:rPr>
          <w:b/>
          <w:sz w:val="24"/>
          <w:szCs w:val="24"/>
        </w:rPr>
        <w:t>Enforcement</w:t>
      </w:r>
      <w:r w:rsidR="005308B0" w:rsidRPr="00C03662">
        <w:rPr>
          <w:sz w:val="24"/>
          <w:szCs w:val="24"/>
        </w:rPr>
        <w:t xml:space="preserve"> </w:t>
      </w:r>
    </w:p>
    <w:p w14:paraId="3CFC15E6" w14:textId="4D0C3B49" w:rsidR="005308B0" w:rsidRDefault="005308B0" w:rsidP="005308B0">
      <w:pPr>
        <w:pStyle w:val="NormalWeb"/>
      </w:pPr>
      <w:r>
        <w:rPr>
          <w:sz w:val="24"/>
          <w:szCs w:val="24"/>
        </w:rPr>
        <w:t>The Fire Chief, his</w:t>
      </w:r>
      <w:r w:rsidR="00B94AFB">
        <w:rPr>
          <w:sz w:val="24"/>
          <w:szCs w:val="24"/>
        </w:rPr>
        <w:t xml:space="preserve"> / her</w:t>
      </w:r>
      <w:r>
        <w:rPr>
          <w:sz w:val="24"/>
          <w:szCs w:val="24"/>
        </w:rPr>
        <w:t xml:space="preserve"> designees, and sworn law enforcement officers are authorized to enforce the provisions of this ordinance. </w:t>
      </w:r>
    </w:p>
    <w:p w14:paraId="0BD3329B" w14:textId="24E35ECD" w:rsidR="005B358E" w:rsidRPr="002D25D2" w:rsidRDefault="00C03662" w:rsidP="005B358E">
      <w:pPr>
        <w:pStyle w:val="NormalWeb"/>
        <w:rPr>
          <w:sz w:val="24"/>
          <w:szCs w:val="24"/>
        </w:rPr>
      </w:pPr>
      <w:r>
        <w:rPr>
          <w:rFonts w:ascii="Arial" w:hAnsi="Arial"/>
          <w:b/>
          <w:bCs/>
          <w:sz w:val="24"/>
          <w:szCs w:val="24"/>
        </w:rPr>
        <w:t>SECTION 7</w:t>
      </w:r>
      <w:r w:rsidR="005B358E" w:rsidRPr="002D25D2">
        <w:rPr>
          <w:rFonts w:ascii="Arial" w:hAnsi="Arial"/>
          <w:b/>
          <w:bCs/>
          <w:sz w:val="24"/>
          <w:szCs w:val="24"/>
        </w:rPr>
        <w:t xml:space="preserve"> - </w:t>
      </w:r>
      <w:r>
        <w:rPr>
          <w:rFonts w:ascii="Arial" w:hAnsi="Arial"/>
          <w:b/>
          <w:bCs/>
          <w:sz w:val="24"/>
          <w:szCs w:val="24"/>
        </w:rPr>
        <w:t>Severability</w:t>
      </w:r>
    </w:p>
    <w:p w14:paraId="2857C5A9" w14:textId="77777777" w:rsidR="00B94AFB" w:rsidRDefault="005B358E" w:rsidP="00536467">
      <w:pPr>
        <w:pStyle w:val="NormalWeb"/>
        <w:rPr>
          <w:rFonts w:ascii="Tahoma" w:hAnsi="Tahoma" w:cs="Tahoma"/>
          <w:sz w:val="22"/>
          <w:szCs w:val="22"/>
        </w:rPr>
      </w:pPr>
      <w:r>
        <w:rPr>
          <w:rFonts w:ascii="Arial" w:hAnsi="Arial"/>
          <w:sz w:val="22"/>
          <w:szCs w:val="22"/>
        </w:rPr>
        <w:t>This Ordinance and each of the various parts, sections, subsections, sentences, phrases, and clauses hereof are declared to be severable. If any part, section, subsection, sentence, phrase, or clause is determined to be invalid or unenforceable by a court of competent jurisdiction, it is hereby provided that the remainder of the Ordinance shall not be affected thereby and shall remain in full force and effect.</w:t>
      </w:r>
    </w:p>
    <w:p w14:paraId="1455DCB6" w14:textId="0CFB93BF" w:rsidR="00536467" w:rsidRPr="00B94AFB" w:rsidRDefault="00C03662" w:rsidP="00536467">
      <w:pPr>
        <w:pStyle w:val="NormalWeb"/>
        <w:rPr>
          <w:rFonts w:ascii="Tahoma" w:hAnsi="Tahoma" w:cs="Tahoma"/>
          <w:sz w:val="22"/>
          <w:szCs w:val="22"/>
        </w:rPr>
      </w:pPr>
      <w:r>
        <w:rPr>
          <w:rFonts w:ascii="Tahoma" w:hAnsi="Tahoma" w:cs="Tahoma"/>
          <w:b/>
          <w:bCs/>
          <w:sz w:val="22"/>
          <w:szCs w:val="22"/>
        </w:rPr>
        <w:t xml:space="preserve">SECTION 8 </w:t>
      </w:r>
      <w:r w:rsidR="00B94AFB">
        <w:rPr>
          <w:rFonts w:ascii="Tahoma" w:hAnsi="Tahoma" w:cs="Tahoma"/>
          <w:b/>
          <w:bCs/>
          <w:sz w:val="22"/>
          <w:szCs w:val="22"/>
        </w:rPr>
        <w:t>–</w:t>
      </w:r>
      <w:r>
        <w:rPr>
          <w:rFonts w:ascii="Tahoma" w:hAnsi="Tahoma" w:cs="Tahoma"/>
          <w:b/>
          <w:bCs/>
          <w:sz w:val="22"/>
          <w:szCs w:val="22"/>
        </w:rPr>
        <w:t xml:space="preserve"> </w:t>
      </w:r>
      <w:r w:rsidR="00B94AFB">
        <w:rPr>
          <w:rFonts w:ascii="Tahoma" w:hAnsi="Tahoma" w:cs="Tahoma"/>
          <w:b/>
          <w:bCs/>
          <w:sz w:val="22"/>
          <w:szCs w:val="22"/>
        </w:rPr>
        <w:t>Effective date</w:t>
      </w:r>
    </w:p>
    <w:p w14:paraId="3D00E67E" w14:textId="4DB1F12E" w:rsidR="00536467" w:rsidRDefault="00536467" w:rsidP="00536467">
      <w:pPr>
        <w:pStyle w:val="NormalWeb"/>
        <w:rPr>
          <w:rFonts w:ascii="Tahoma" w:hAnsi="Tahoma" w:cs="Tahoma"/>
          <w:sz w:val="22"/>
          <w:szCs w:val="22"/>
        </w:rPr>
      </w:pPr>
      <w:r>
        <w:rPr>
          <w:rFonts w:ascii="Tahoma" w:hAnsi="Tahoma" w:cs="Tahoma"/>
          <w:sz w:val="22"/>
          <w:szCs w:val="22"/>
        </w:rPr>
        <w:t xml:space="preserve">This Ordinance shall take effect immediately upon publication. </w:t>
      </w:r>
    </w:p>
    <w:p w14:paraId="3E7E621B" w14:textId="4A531281" w:rsidR="00DE1F0D" w:rsidRDefault="00DE1F0D" w:rsidP="00536467">
      <w:pPr>
        <w:pStyle w:val="NormalWeb"/>
      </w:pPr>
      <w:r>
        <w:rPr>
          <w:rFonts w:ascii="Tahoma" w:hAnsi="Tahoma" w:cs="Tahoma"/>
          <w:sz w:val="22"/>
          <w:szCs w:val="22"/>
        </w:rPr>
        <w:t xml:space="preserve">Motion by Bob Blackmore, </w:t>
      </w:r>
      <w:proofErr w:type="gramStart"/>
      <w:r>
        <w:rPr>
          <w:rFonts w:ascii="Tahoma" w:hAnsi="Tahoma" w:cs="Tahoma"/>
          <w:sz w:val="22"/>
          <w:szCs w:val="22"/>
        </w:rPr>
        <w:t>Second</w:t>
      </w:r>
      <w:proofErr w:type="gramEnd"/>
      <w:r>
        <w:rPr>
          <w:rFonts w:ascii="Tahoma" w:hAnsi="Tahoma" w:cs="Tahoma"/>
          <w:sz w:val="22"/>
          <w:szCs w:val="22"/>
        </w:rPr>
        <w:t xml:space="preserve"> by James </w:t>
      </w:r>
      <w:proofErr w:type="spellStart"/>
      <w:r>
        <w:rPr>
          <w:rFonts w:ascii="Tahoma" w:hAnsi="Tahoma" w:cs="Tahoma"/>
          <w:sz w:val="22"/>
          <w:szCs w:val="22"/>
        </w:rPr>
        <w:t>Wisniski</w:t>
      </w:r>
      <w:proofErr w:type="spellEnd"/>
      <w:r>
        <w:rPr>
          <w:rFonts w:ascii="Tahoma" w:hAnsi="Tahoma" w:cs="Tahoma"/>
          <w:sz w:val="22"/>
          <w:szCs w:val="22"/>
        </w:rPr>
        <w:t xml:space="preserve"> for approval of Ordinance 2019-02 as presented by Planning Commission.  Roll Call Vote:  </w:t>
      </w:r>
      <w:proofErr w:type="spellStart"/>
      <w:r>
        <w:rPr>
          <w:rFonts w:ascii="Tahoma" w:hAnsi="Tahoma" w:cs="Tahoma"/>
          <w:sz w:val="22"/>
          <w:szCs w:val="22"/>
        </w:rPr>
        <w:t>Wisniski</w:t>
      </w:r>
      <w:proofErr w:type="spellEnd"/>
      <w:r>
        <w:rPr>
          <w:rFonts w:ascii="Tahoma" w:hAnsi="Tahoma" w:cs="Tahoma"/>
          <w:sz w:val="22"/>
          <w:szCs w:val="22"/>
        </w:rPr>
        <w:t xml:space="preserve"> – Yes, Blackmore – Yes, Beebe – Yes, Johnson – Yes, Meister – Absent.  M/C</w:t>
      </w:r>
    </w:p>
    <w:p w14:paraId="586697A0" w14:textId="77777777" w:rsidR="00DE1F0D" w:rsidRDefault="00DE1F0D" w:rsidP="00536467">
      <w:pPr>
        <w:pStyle w:val="NormalWeb"/>
        <w:rPr>
          <w:rFonts w:ascii="Tahoma" w:hAnsi="Tahoma" w:cs="Tahoma"/>
          <w:b/>
          <w:bCs/>
          <w:sz w:val="22"/>
          <w:szCs w:val="22"/>
        </w:rPr>
      </w:pPr>
    </w:p>
    <w:p w14:paraId="3E5386BF" w14:textId="77777777" w:rsidR="00DE1F0D" w:rsidRDefault="00DE1F0D" w:rsidP="00536467">
      <w:pPr>
        <w:pStyle w:val="NormalWeb"/>
        <w:rPr>
          <w:rFonts w:ascii="Tahoma" w:hAnsi="Tahoma" w:cs="Tahoma"/>
          <w:b/>
          <w:bCs/>
          <w:sz w:val="22"/>
          <w:szCs w:val="22"/>
        </w:rPr>
      </w:pPr>
    </w:p>
    <w:p w14:paraId="3556A577" w14:textId="77777777" w:rsidR="00DE1F0D" w:rsidRDefault="00DE1F0D" w:rsidP="00536467">
      <w:pPr>
        <w:pStyle w:val="NormalWeb"/>
        <w:rPr>
          <w:rFonts w:ascii="Tahoma" w:hAnsi="Tahoma" w:cs="Tahoma"/>
          <w:b/>
          <w:bCs/>
          <w:sz w:val="22"/>
          <w:szCs w:val="22"/>
        </w:rPr>
      </w:pPr>
    </w:p>
    <w:p w14:paraId="66974856" w14:textId="25652C06" w:rsidR="00536467" w:rsidRDefault="00536467" w:rsidP="00536467">
      <w:pPr>
        <w:pStyle w:val="NormalWeb"/>
      </w:pPr>
      <w:bookmarkStart w:id="0" w:name="_GoBack"/>
      <w:bookmarkEnd w:id="0"/>
      <w:r>
        <w:rPr>
          <w:rFonts w:ascii="Tahoma" w:hAnsi="Tahoma" w:cs="Tahoma"/>
          <w:b/>
          <w:bCs/>
          <w:sz w:val="22"/>
          <w:szCs w:val="22"/>
        </w:rPr>
        <w:lastRenderedPageBreak/>
        <w:t xml:space="preserve">CERTIFICATION </w:t>
      </w:r>
    </w:p>
    <w:p w14:paraId="54BEFFE8" w14:textId="06C85001" w:rsidR="00536467" w:rsidRDefault="00536467" w:rsidP="00536467">
      <w:pPr>
        <w:pStyle w:val="NormalWeb"/>
      </w:pPr>
      <w:r>
        <w:rPr>
          <w:rFonts w:ascii="Tahoma" w:hAnsi="Tahoma" w:cs="Tahoma"/>
          <w:sz w:val="22"/>
          <w:szCs w:val="22"/>
        </w:rPr>
        <w:t>I certify that this Fireworks Ordinance Amendment was adopt</w:t>
      </w:r>
      <w:r w:rsidR="00C03662">
        <w:rPr>
          <w:rFonts w:ascii="Tahoma" w:hAnsi="Tahoma" w:cs="Tahoma"/>
          <w:sz w:val="22"/>
          <w:szCs w:val="22"/>
        </w:rPr>
        <w:t>ed by the Board of Trustees of Onekama Tow</w:t>
      </w:r>
      <w:r w:rsidR="00B94AFB">
        <w:rPr>
          <w:rFonts w:ascii="Tahoma" w:hAnsi="Tahoma" w:cs="Tahoma"/>
          <w:sz w:val="22"/>
          <w:szCs w:val="22"/>
        </w:rPr>
        <w:t xml:space="preserve">nship, Michigan </w:t>
      </w:r>
      <w:r>
        <w:rPr>
          <w:rFonts w:ascii="Tahoma" w:hAnsi="Tahoma" w:cs="Tahoma"/>
          <w:sz w:val="22"/>
          <w:szCs w:val="22"/>
        </w:rPr>
        <w:t>at a regular meeting held on</w:t>
      </w:r>
      <w:r w:rsidR="00DE1F0D">
        <w:rPr>
          <w:rFonts w:ascii="Tahoma" w:hAnsi="Tahoma" w:cs="Tahoma"/>
          <w:sz w:val="22"/>
          <w:szCs w:val="22"/>
        </w:rPr>
        <w:t xml:space="preserve"> June 4</w:t>
      </w:r>
      <w:r>
        <w:rPr>
          <w:rFonts w:ascii="Tahoma" w:hAnsi="Tahoma" w:cs="Tahoma"/>
          <w:sz w:val="22"/>
          <w:szCs w:val="22"/>
        </w:rPr>
        <w:t xml:space="preserve">, 2019. </w:t>
      </w:r>
    </w:p>
    <w:p w14:paraId="75BDC86C" w14:textId="338CC6C2" w:rsidR="00B94AFB" w:rsidRDefault="00B94AFB" w:rsidP="00536467">
      <w:pPr>
        <w:pStyle w:val="NormalWeb"/>
        <w:rPr>
          <w:rFonts w:ascii="Tahoma" w:hAnsi="Tahoma" w:cs="Tahoma"/>
          <w:sz w:val="22"/>
          <w:szCs w:val="22"/>
        </w:rPr>
      </w:pPr>
      <w:r>
        <w:rPr>
          <w:rFonts w:ascii="Tahoma" w:hAnsi="Tahoma" w:cs="Tahoma"/>
          <w:sz w:val="22"/>
          <w:szCs w:val="22"/>
        </w:rPr>
        <w:t xml:space="preserve">TOWNSHIP OF </w:t>
      </w:r>
      <w:proofErr w:type="gramStart"/>
      <w:r>
        <w:rPr>
          <w:rFonts w:ascii="Tahoma" w:hAnsi="Tahoma" w:cs="Tahoma"/>
          <w:sz w:val="22"/>
          <w:szCs w:val="22"/>
        </w:rPr>
        <w:t>ONEKAMA  -</w:t>
      </w:r>
      <w:proofErr w:type="gramEnd"/>
      <w:r>
        <w:rPr>
          <w:rFonts w:ascii="Tahoma" w:hAnsi="Tahoma" w:cs="Tahoma"/>
          <w:sz w:val="22"/>
          <w:szCs w:val="22"/>
        </w:rPr>
        <w:t xml:space="preserve">  SHELLI JOHNSON, clerk </w:t>
      </w:r>
    </w:p>
    <w:p w14:paraId="3E6C3A01" w14:textId="3AB1DCF0" w:rsidR="00536467" w:rsidRDefault="00536467" w:rsidP="00536467">
      <w:pPr>
        <w:pStyle w:val="NormalWeb"/>
        <w:rPr>
          <w:rFonts w:ascii="Tahoma" w:hAnsi="Tahoma" w:cs="Tahoma"/>
          <w:sz w:val="22"/>
          <w:szCs w:val="22"/>
        </w:rPr>
      </w:pPr>
      <w:r>
        <w:rPr>
          <w:rFonts w:ascii="Tahoma" w:hAnsi="Tahoma" w:cs="Tahoma"/>
          <w:sz w:val="22"/>
          <w:szCs w:val="22"/>
        </w:rPr>
        <w:t>____________________________________</w:t>
      </w:r>
      <w:proofErr w:type="gramStart"/>
      <w:r>
        <w:rPr>
          <w:rFonts w:ascii="Tahoma" w:hAnsi="Tahoma" w:cs="Tahoma"/>
          <w:sz w:val="22"/>
          <w:szCs w:val="22"/>
        </w:rPr>
        <w:t xml:space="preserve">_ </w:t>
      </w:r>
      <w:r w:rsidR="00B94AFB">
        <w:rPr>
          <w:rFonts w:ascii="Tahoma" w:hAnsi="Tahoma" w:cs="Tahoma"/>
          <w:sz w:val="22"/>
          <w:szCs w:val="22"/>
        </w:rPr>
        <w:t xml:space="preserve"> (</w:t>
      </w:r>
      <w:proofErr w:type="gramEnd"/>
      <w:r w:rsidR="00B94AFB">
        <w:rPr>
          <w:rFonts w:ascii="Tahoma" w:hAnsi="Tahoma" w:cs="Tahoma"/>
          <w:sz w:val="22"/>
          <w:szCs w:val="22"/>
        </w:rPr>
        <w:t>date) ______________________</w:t>
      </w:r>
    </w:p>
    <w:p w14:paraId="2A5FB3B8" w14:textId="77777777" w:rsidR="00B94AFB" w:rsidRDefault="00B94AFB" w:rsidP="00536467">
      <w:pPr>
        <w:pStyle w:val="NormalWeb"/>
      </w:pPr>
    </w:p>
    <w:p w14:paraId="0865F5F2" w14:textId="65665374" w:rsidR="00536467" w:rsidRDefault="00536467" w:rsidP="00536467">
      <w:pPr>
        <w:pStyle w:val="NormalWeb"/>
      </w:pPr>
    </w:p>
    <w:p w14:paraId="4A9905F4" w14:textId="77777777" w:rsidR="00536467" w:rsidRDefault="00536467" w:rsidP="00536467"/>
    <w:p w14:paraId="6B862E97" w14:textId="77777777" w:rsidR="00C123B9" w:rsidRPr="00536467" w:rsidRDefault="00C123B9" w:rsidP="00536467"/>
    <w:sectPr w:rsidR="00C123B9" w:rsidRPr="00536467" w:rsidSect="00910B8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3AB26" w14:textId="77777777" w:rsidR="008B7DB6" w:rsidRDefault="008B7DB6" w:rsidP="00B94AFB">
      <w:r>
        <w:separator/>
      </w:r>
    </w:p>
  </w:endnote>
  <w:endnote w:type="continuationSeparator" w:id="0">
    <w:p w14:paraId="5B3318CA" w14:textId="77777777" w:rsidR="008B7DB6" w:rsidRDefault="008B7DB6" w:rsidP="00B9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2DA4" w14:textId="77777777" w:rsidR="00B94AFB" w:rsidRDefault="00B94AFB" w:rsidP="00D269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EDF2A" w14:textId="77777777" w:rsidR="00B94AFB" w:rsidRDefault="00B94AFB" w:rsidP="00B94A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FBB2B" w14:textId="77777777" w:rsidR="00B94AFB" w:rsidRDefault="00B94AFB" w:rsidP="00D269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441969" w14:textId="77777777" w:rsidR="00B94AFB" w:rsidRDefault="00B94AFB" w:rsidP="00B94A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B31FF" w14:textId="77777777" w:rsidR="008B7DB6" w:rsidRDefault="008B7DB6" w:rsidP="00B94AFB">
      <w:r>
        <w:separator/>
      </w:r>
    </w:p>
  </w:footnote>
  <w:footnote w:type="continuationSeparator" w:id="0">
    <w:p w14:paraId="73C28419" w14:textId="77777777" w:rsidR="008B7DB6" w:rsidRDefault="008B7DB6" w:rsidP="00B94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5D5F"/>
    <w:multiLevelType w:val="multilevel"/>
    <w:tmpl w:val="BBFE8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5A4D8C"/>
    <w:multiLevelType w:val="multilevel"/>
    <w:tmpl w:val="925AF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B235D0"/>
    <w:multiLevelType w:val="multilevel"/>
    <w:tmpl w:val="5E881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0D6E36"/>
    <w:multiLevelType w:val="hybridMultilevel"/>
    <w:tmpl w:val="69F42A8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F765D6"/>
    <w:multiLevelType w:val="hybridMultilevel"/>
    <w:tmpl w:val="2EF857D2"/>
    <w:lvl w:ilvl="0" w:tplc="072676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31E68"/>
    <w:multiLevelType w:val="hybridMultilevel"/>
    <w:tmpl w:val="BECAD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70"/>
    <w:rsid w:val="005308B0"/>
    <w:rsid w:val="00536467"/>
    <w:rsid w:val="005B358E"/>
    <w:rsid w:val="0073106A"/>
    <w:rsid w:val="008B7DB6"/>
    <w:rsid w:val="00910B8D"/>
    <w:rsid w:val="00B94AFB"/>
    <w:rsid w:val="00C03662"/>
    <w:rsid w:val="00C123B9"/>
    <w:rsid w:val="00D91B70"/>
    <w:rsid w:val="00DE1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8EA68"/>
  <w14:defaultImageDpi w14:val="300"/>
  <w15:docId w15:val="{8BB903C6-2978-4256-9834-EE44B4A2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1B70"/>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B94AFB"/>
    <w:pPr>
      <w:tabs>
        <w:tab w:val="center" w:pos="4320"/>
        <w:tab w:val="right" w:pos="8640"/>
      </w:tabs>
    </w:pPr>
  </w:style>
  <w:style w:type="character" w:customStyle="1" w:styleId="FooterChar">
    <w:name w:val="Footer Char"/>
    <w:basedOn w:val="DefaultParagraphFont"/>
    <w:link w:val="Footer"/>
    <w:uiPriority w:val="99"/>
    <w:rsid w:val="00B94AFB"/>
  </w:style>
  <w:style w:type="character" w:styleId="PageNumber">
    <w:name w:val="page number"/>
    <w:basedOn w:val="DefaultParagraphFont"/>
    <w:uiPriority w:val="99"/>
    <w:semiHidden/>
    <w:unhideWhenUsed/>
    <w:rsid w:val="00B94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62320">
      <w:bodyDiv w:val="1"/>
      <w:marLeft w:val="0"/>
      <w:marRight w:val="0"/>
      <w:marTop w:val="0"/>
      <w:marBottom w:val="0"/>
      <w:divBdr>
        <w:top w:val="none" w:sz="0" w:space="0" w:color="auto"/>
        <w:left w:val="none" w:sz="0" w:space="0" w:color="auto"/>
        <w:bottom w:val="none" w:sz="0" w:space="0" w:color="auto"/>
        <w:right w:val="none" w:sz="0" w:space="0" w:color="auto"/>
      </w:divBdr>
      <w:divsChild>
        <w:div w:id="24673993">
          <w:marLeft w:val="0"/>
          <w:marRight w:val="0"/>
          <w:marTop w:val="0"/>
          <w:marBottom w:val="0"/>
          <w:divBdr>
            <w:top w:val="none" w:sz="0" w:space="0" w:color="auto"/>
            <w:left w:val="none" w:sz="0" w:space="0" w:color="auto"/>
            <w:bottom w:val="none" w:sz="0" w:space="0" w:color="auto"/>
            <w:right w:val="none" w:sz="0" w:space="0" w:color="auto"/>
          </w:divBdr>
          <w:divsChild>
            <w:div w:id="868839776">
              <w:marLeft w:val="0"/>
              <w:marRight w:val="0"/>
              <w:marTop w:val="0"/>
              <w:marBottom w:val="0"/>
              <w:divBdr>
                <w:top w:val="none" w:sz="0" w:space="0" w:color="auto"/>
                <w:left w:val="none" w:sz="0" w:space="0" w:color="auto"/>
                <w:bottom w:val="none" w:sz="0" w:space="0" w:color="auto"/>
                <w:right w:val="none" w:sz="0" w:space="0" w:color="auto"/>
              </w:divBdr>
              <w:divsChild>
                <w:div w:id="1985968304">
                  <w:marLeft w:val="0"/>
                  <w:marRight w:val="0"/>
                  <w:marTop w:val="0"/>
                  <w:marBottom w:val="0"/>
                  <w:divBdr>
                    <w:top w:val="none" w:sz="0" w:space="0" w:color="auto"/>
                    <w:left w:val="none" w:sz="0" w:space="0" w:color="auto"/>
                    <w:bottom w:val="none" w:sz="0" w:space="0" w:color="auto"/>
                    <w:right w:val="none" w:sz="0" w:space="0" w:color="auto"/>
                  </w:divBdr>
                </w:div>
              </w:divsChild>
            </w:div>
            <w:div w:id="77554798">
              <w:marLeft w:val="0"/>
              <w:marRight w:val="0"/>
              <w:marTop w:val="0"/>
              <w:marBottom w:val="0"/>
              <w:divBdr>
                <w:top w:val="none" w:sz="0" w:space="0" w:color="auto"/>
                <w:left w:val="none" w:sz="0" w:space="0" w:color="auto"/>
                <w:bottom w:val="none" w:sz="0" w:space="0" w:color="auto"/>
                <w:right w:val="none" w:sz="0" w:space="0" w:color="auto"/>
              </w:divBdr>
              <w:divsChild>
                <w:div w:id="49422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654">
          <w:marLeft w:val="0"/>
          <w:marRight w:val="0"/>
          <w:marTop w:val="0"/>
          <w:marBottom w:val="0"/>
          <w:divBdr>
            <w:top w:val="none" w:sz="0" w:space="0" w:color="auto"/>
            <w:left w:val="none" w:sz="0" w:space="0" w:color="auto"/>
            <w:bottom w:val="none" w:sz="0" w:space="0" w:color="auto"/>
            <w:right w:val="none" w:sz="0" w:space="0" w:color="auto"/>
          </w:divBdr>
          <w:divsChild>
            <w:div w:id="1607619233">
              <w:marLeft w:val="0"/>
              <w:marRight w:val="0"/>
              <w:marTop w:val="0"/>
              <w:marBottom w:val="0"/>
              <w:divBdr>
                <w:top w:val="none" w:sz="0" w:space="0" w:color="auto"/>
                <w:left w:val="none" w:sz="0" w:space="0" w:color="auto"/>
                <w:bottom w:val="none" w:sz="0" w:space="0" w:color="auto"/>
                <w:right w:val="none" w:sz="0" w:space="0" w:color="auto"/>
              </w:divBdr>
              <w:divsChild>
                <w:div w:id="13212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50857">
      <w:bodyDiv w:val="1"/>
      <w:marLeft w:val="0"/>
      <w:marRight w:val="0"/>
      <w:marTop w:val="0"/>
      <w:marBottom w:val="0"/>
      <w:divBdr>
        <w:top w:val="none" w:sz="0" w:space="0" w:color="auto"/>
        <w:left w:val="none" w:sz="0" w:space="0" w:color="auto"/>
        <w:bottom w:val="none" w:sz="0" w:space="0" w:color="auto"/>
        <w:right w:val="none" w:sz="0" w:space="0" w:color="auto"/>
      </w:divBdr>
      <w:divsChild>
        <w:div w:id="357586838">
          <w:marLeft w:val="0"/>
          <w:marRight w:val="0"/>
          <w:marTop w:val="0"/>
          <w:marBottom w:val="0"/>
          <w:divBdr>
            <w:top w:val="none" w:sz="0" w:space="0" w:color="auto"/>
            <w:left w:val="none" w:sz="0" w:space="0" w:color="auto"/>
            <w:bottom w:val="none" w:sz="0" w:space="0" w:color="auto"/>
            <w:right w:val="none" w:sz="0" w:space="0" w:color="auto"/>
          </w:divBdr>
          <w:divsChild>
            <w:div w:id="416174069">
              <w:marLeft w:val="0"/>
              <w:marRight w:val="0"/>
              <w:marTop w:val="0"/>
              <w:marBottom w:val="0"/>
              <w:divBdr>
                <w:top w:val="none" w:sz="0" w:space="0" w:color="auto"/>
                <w:left w:val="none" w:sz="0" w:space="0" w:color="auto"/>
                <w:bottom w:val="none" w:sz="0" w:space="0" w:color="auto"/>
                <w:right w:val="none" w:sz="0" w:space="0" w:color="auto"/>
              </w:divBdr>
              <w:divsChild>
                <w:div w:id="11780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98519">
          <w:marLeft w:val="0"/>
          <w:marRight w:val="0"/>
          <w:marTop w:val="0"/>
          <w:marBottom w:val="0"/>
          <w:divBdr>
            <w:top w:val="none" w:sz="0" w:space="0" w:color="auto"/>
            <w:left w:val="none" w:sz="0" w:space="0" w:color="auto"/>
            <w:bottom w:val="none" w:sz="0" w:space="0" w:color="auto"/>
            <w:right w:val="none" w:sz="0" w:space="0" w:color="auto"/>
          </w:divBdr>
          <w:divsChild>
            <w:div w:id="1491481808">
              <w:marLeft w:val="0"/>
              <w:marRight w:val="0"/>
              <w:marTop w:val="0"/>
              <w:marBottom w:val="0"/>
              <w:divBdr>
                <w:top w:val="none" w:sz="0" w:space="0" w:color="auto"/>
                <w:left w:val="none" w:sz="0" w:space="0" w:color="auto"/>
                <w:bottom w:val="none" w:sz="0" w:space="0" w:color="auto"/>
                <w:right w:val="none" w:sz="0" w:space="0" w:color="auto"/>
              </w:divBdr>
              <w:divsChild>
                <w:div w:id="1071387908">
                  <w:marLeft w:val="0"/>
                  <w:marRight w:val="0"/>
                  <w:marTop w:val="0"/>
                  <w:marBottom w:val="0"/>
                  <w:divBdr>
                    <w:top w:val="none" w:sz="0" w:space="0" w:color="auto"/>
                    <w:left w:val="none" w:sz="0" w:space="0" w:color="auto"/>
                    <w:bottom w:val="none" w:sz="0" w:space="0" w:color="auto"/>
                    <w:right w:val="none" w:sz="0" w:space="0" w:color="auto"/>
                  </w:divBdr>
                </w:div>
              </w:divsChild>
            </w:div>
            <w:div w:id="2139448064">
              <w:marLeft w:val="0"/>
              <w:marRight w:val="0"/>
              <w:marTop w:val="0"/>
              <w:marBottom w:val="0"/>
              <w:divBdr>
                <w:top w:val="none" w:sz="0" w:space="0" w:color="auto"/>
                <w:left w:val="none" w:sz="0" w:space="0" w:color="auto"/>
                <w:bottom w:val="none" w:sz="0" w:space="0" w:color="auto"/>
                <w:right w:val="none" w:sz="0" w:space="0" w:color="auto"/>
              </w:divBdr>
              <w:divsChild>
                <w:div w:id="762533236">
                  <w:marLeft w:val="0"/>
                  <w:marRight w:val="0"/>
                  <w:marTop w:val="0"/>
                  <w:marBottom w:val="0"/>
                  <w:divBdr>
                    <w:top w:val="none" w:sz="0" w:space="0" w:color="auto"/>
                    <w:left w:val="none" w:sz="0" w:space="0" w:color="auto"/>
                    <w:bottom w:val="none" w:sz="0" w:space="0" w:color="auto"/>
                    <w:right w:val="none" w:sz="0" w:space="0" w:color="auto"/>
                  </w:divBdr>
                </w:div>
                <w:div w:id="1482110990">
                  <w:marLeft w:val="0"/>
                  <w:marRight w:val="0"/>
                  <w:marTop w:val="0"/>
                  <w:marBottom w:val="0"/>
                  <w:divBdr>
                    <w:top w:val="none" w:sz="0" w:space="0" w:color="auto"/>
                    <w:left w:val="none" w:sz="0" w:space="0" w:color="auto"/>
                    <w:bottom w:val="none" w:sz="0" w:space="0" w:color="auto"/>
                    <w:right w:val="none" w:sz="0" w:space="0" w:color="auto"/>
                  </w:divBdr>
                </w:div>
              </w:divsChild>
            </w:div>
            <w:div w:id="2055033749">
              <w:marLeft w:val="0"/>
              <w:marRight w:val="0"/>
              <w:marTop w:val="0"/>
              <w:marBottom w:val="0"/>
              <w:divBdr>
                <w:top w:val="none" w:sz="0" w:space="0" w:color="auto"/>
                <w:left w:val="none" w:sz="0" w:space="0" w:color="auto"/>
                <w:bottom w:val="none" w:sz="0" w:space="0" w:color="auto"/>
                <w:right w:val="none" w:sz="0" w:space="0" w:color="auto"/>
              </w:divBdr>
              <w:divsChild>
                <w:div w:id="7016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 Trout</dc:creator>
  <cp:keywords/>
  <dc:description/>
  <cp:lastModifiedBy>OnekamaClerk1</cp:lastModifiedBy>
  <cp:revision>2</cp:revision>
  <cp:lastPrinted>2019-05-22T14:00:00Z</cp:lastPrinted>
  <dcterms:created xsi:type="dcterms:W3CDTF">2019-06-10T14:59:00Z</dcterms:created>
  <dcterms:modified xsi:type="dcterms:W3CDTF">2019-06-10T14:59:00Z</dcterms:modified>
</cp:coreProperties>
</file>